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26C" w:rsidRDefault="009D326C">
      <w:pPr>
        <w:widowControl w:val="0"/>
      </w:pPr>
      <w:bookmarkStart w:id="0" w:name="StartLocation"/>
      <w:bookmarkEnd w:id="0"/>
    </w:p>
    <w:p w:rsidR="00FB3A0A" w:rsidRDefault="00FB3A0A">
      <w:pPr>
        <w:widowControl w:val="0"/>
      </w:pPr>
      <w:r w:rsidRPr="00FB3A0A">
        <w:rPr>
          <w:b/>
        </w:rPr>
        <w:t>For Release:  IMMEDIATE</w:t>
      </w:r>
      <w:r w:rsidRPr="00FB3A0A">
        <w:rPr>
          <w:b/>
        </w:rPr>
        <w:tab/>
      </w:r>
      <w:r w:rsidRPr="00FB3A0A">
        <w:rPr>
          <w:b/>
        </w:rPr>
        <w:tab/>
      </w:r>
      <w:r w:rsidRPr="00FB3A0A">
        <w:rPr>
          <w:b/>
        </w:rPr>
        <w:tab/>
      </w:r>
      <w:r w:rsidRPr="00FB3A0A">
        <w:rPr>
          <w:b/>
        </w:rPr>
        <w:tab/>
      </w:r>
      <w:r w:rsidRPr="00FB3A0A">
        <w:rPr>
          <w:b/>
        </w:rPr>
        <w:tab/>
      </w:r>
      <w:r w:rsidRPr="00FB3A0A">
        <w:rPr>
          <w:b/>
        </w:rPr>
        <w:tab/>
        <w:t>Contact:</w:t>
      </w:r>
      <w:r>
        <w:t xml:space="preserve">  Lori </w:t>
      </w:r>
      <w:proofErr w:type="spellStart"/>
      <w:r>
        <w:t>Severino</w:t>
      </w:r>
      <w:proofErr w:type="spellEnd"/>
    </w:p>
    <w:p w:rsidR="00FB3A0A" w:rsidRDefault="00FB3A0A">
      <w:pPr>
        <w:widowControl w:val="0"/>
      </w:pPr>
      <w:r>
        <w:t>Friday, April 15, 2011</w:t>
      </w:r>
      <w:r>
        <w:tab/>
      </w:r>
      <w:r>
        <w:tab/>
      </w:r>
      <w:r>
        <w:tab/>
      </w:r>
      <w:r>
        <w:tab/>
      </w:r>
      <w:r>
        <w:tab/>
      </w:r>
      <w:r>
        <w:tab/>
      </w:r>
      <w:r>
        <w:tab/>
      </w:r>
      <w:r>
        <w:tab/>
        <w:t xml:space="preserve">    (518) 402-8000</w:t>
      </w:r>
    </w:p>
    <w:p w:rsidR="00FB3A0A" w:rsidRDefault="00FB3A0A">
      <w:pPr>
        <w:widowControl w:val="0"/>
      </w:pPr>
    </w:p>
    <w:p w:rsidR="00FB3A0A" w:rsidRPr="004D6781" w:rsidRDefault="00FB3A0A" w:rsidP="00FB3A0A">
      <w:pPr>
        <w:spacing w:after="60" w:line="288" w:lineRule="atLeast"/>
        <w:jc w:val="center"/>
        <w:outlineLvl w:val="0"/>
        <w:rPr>
          <w:b/>
          <w:bCs/>
          <w:kern w:val="36"/>
        </w:rPr>
      </w:pPr>
      <w:r w:rsidRPr="004D6781">
        <w:rPr>
          <w:b/>
          <w:bCs/>
          <w:kern w:val="36"/>
        </w:rPr>
        <w:t>DEC ISSUES EMERGENCY RULE FOR OUTDOOR WOOD BOILERS</w:t>
      </w:r>
    </w:p>
    <w:p w:rsidR="00FB3A0A" w:rsidRPr="004D6781" w:rsidRDefault="00FB3A0A" w:rsidP="00FB3A0A">
      <w:pPr>
        <w:spacing w:after="60" w:line="288" w:lineRule="atLeast"/>
        <w:jc w:val="center"/>
        <w:outlineLvl w:val="0"/>
        <w:rPr>
          <w:b/>
          <w:bCs/>
          <w:kern w:val="36"/>
        </w:rPr>
      </w:pPr>
      <w:r w:rsidRPr="004D6781">
        <w:rPr>
          <w:b/>
          <w:bCs/>
          <w:kern w:val="36"/>
        </w:rPr>
        <w:t xml:space="preserve">90-Day Extension in Place </w:t>
      </w:r>
      <w:r>
        <w:rPr>
          <w:b/>
          <w:bCs/>
          <w:kern w:val="36"/>
        </w:rPr>
        <w:t>for Current Boilers</w:t>
      </w:r>
      <w:r w:rsidRPr="004D6781">
        <w:rPr>
          <w:b/>
          <w:bCs/>
          <w:kern w:val="36"/>
        </w:rPr>
        <w:t xml:space="preserve"> to Be Sold In New York</w:t>
      </w:r>
    </w:p>
    <w:p w:rsidR="00FB3A0A" w:rsidRPr="00DA5344" w:rsidRDefault="00FB3A0A" w:rsidP="00FB3A0A">
      <w:pPr>
        <w:ind w:firstLine="360"/>
        <w:outlineLvl w:val="0"/>
        <w:rPr>
          <w:color w:val="000000"/>
        </w:rPr>
      </w:pPr>
    </w:p>
    <w:p w:rsidR="00FB3A0A" w:rsidRPr="00DA5344" w:rsidRDefault="00FB3A0A" w:rsidP="00FB3A0A">
      <w:pPr>
        <w:pStyle w:val="NormalWeb"/>
        <w:spacing w:after="0" w:line="240" w:lineRule="auto"/>
        <w:ind w:firstLine="630"/>
        <w:rPr>
          <w:rFonts w:ascii="Times New Roman" w:hAnsi="Times New Roman" w:cs="Times New Roman"/>
          <w:color w:val="000000"/>
        </w:rPr>
      </w:pPr>
      <w:r w:rsidRPr="00DA5344">
        <w:rPr>
          <w:rFonts w:ascii="Times New Roman" w:hAnsi="Times New Roman" w:cs="Times New Roman"/>
          <w:color w:val="000000"/>
        </w:rPr>
        <w:t xml:space="preserve">The New York State Department of Environmental Conservation (DEC) today announced the adoption of an emergency rule pertaining to the sales of outdoor wood boilers in New York.  The emergency rule </w:t>
      </w:r>
      <w:r w:rsidRPr="00DA5344">
        <w:rPr>
          <w:rFonts w:ascii="Times New Roman" w:hAnsi="Times New Roman" w:cs="Times New Roman"/>
        </w:rPr>
        <w:t>extends the current regulation</w:t>
      </w:r>
      <w:r>
        <w:rPr>
          <w:rFonts w:ascii="Times New Roman" w:hAnsi="Times New Roman" w:cs="Times New Roman"/>
        </w:rPr>
        <w:t>’s</w:t>
      </w:r>
      <w:r w:rsidRPr="00DA5344">
        <w:rPr>
          <w:rFonts w:ascii="Times New Roman" w:hAnsi="Times New Roman" w:cs="Times New Roman"/>
        </w:rPr>
        <w:t xml:space="preserve"> sell-through date by 90 days</w:t>
      </w:r>
      <w:r>
        <w:rPr>
          <w:rFonts w:ascii="Times New Roman" w:hAnsi="Times New Roman" w:cs="Times New Roman"/>
        </w:rPr>
        <w:t>, allowing a d</w:t>
      </w:r>
      <w:r w:rsidRPr="00DA5344">
        <w:rPr>
          <w:rFonts w:ascii="Times New Roman" w:hAnsi="Times New Roman" w:cs="Times New Roman"/>
        </w:rPr>
        <w:t xml:space="preserve">istributor to sell </w:t>
      </w:r>
      <w:r>
        <w:rPr>
          <w:rFonts w:ascii="Times New Roman" w:hAnsi="Times New Roman" w:cs="Times New Roman"/>
        </w:rPr>
        <w:t xml:space="preserve">through July 14, 2011 any </w:t>
      </w:r>
      <w:r w:rsidRPr="00DA5344">
        <w:rPr>
          <w:rFonts w:ascii="Times New Roman" w:hAnsi="Times New Roman" w:cs="Times New Roman"/>
        </w:rPr>
        <w:t>non-certified outdoor wood boiler models</w:t>
      </w:r>
      <w:r>
        <w:rPr>
          <w:rFonts w:ascii="Times New Roman" w:hAnsi="Times New Roman" w:cs="Times New Roman"/>
        </w:rPr>
        <w:t xml:space="preserve"> that were in the distributor’s stock as of April </w:t>
      </w:r>
      <w:r w:rsidRPr="00DA5344">
        <w:rPr>
          <w:rFonts w:ascii="Times New Roman" w:hAnsi="Times New Roman" w:cs="Times New Roman"/>
        </w:rPr>
        <w:t>14, 2011.</w:t>
      </w:r>
      <w:r>
        <w:rPr>
          <w:rFonts w:ascii="Times New Roman" w:hAnsi="Times New Roman" w:cs="Times New Roman"/>
        </w:rPr>
        <w:t xml:space="preserve">  Other than units already in stock, distributors may no longer sell any outdoor wood boilers that are not certified by DEC as meeting the emission standards set forth in the state regulation for outdoor wood boilers (Part 247).</w:t>
      </w:r>
      <w:r w:rsidRPr="00DA5344">
        <w:rPr>
          <w:rFonts w:ascii="Times New Roman" w:hAnsi="Times New Roman" w:cs="Times New Roman"/>
        </w:rPr>
        <w:t xml:space="preserve"> </w:t>
      </w:r>
    </w:p>
    <w:p w:rsidR="00FB3A0A" w:rsidRPr="00DA5344" w:rsidRDefault="00FB3A0A" w:rsidP="00FB3A0A">
      <w:pPr>
        <w:ind w:firstLine="360"/>
        <w:outlineLvl w:val="0"/>
      </w:pPr>
    </w:p>
    <w:p w:rsidR="00FB3A0A" w:rsidRPr="00DA5344" w:rsidRDefault="00FB3A0A" w:rsidP="00FB3A0A">
      <w:pPr>
        <w:ind w:firstLine="630"/>
      </w:pPr>
      <w:r>
        <w:t>The state o</w:t>
      </w:r>
      <w:r w:rsidRPr="00DA5344">
        <w:t>u</w:t>
      </w:r>
      <w:r>
        <w:t>tdoor wood b</w:t>
      </w:r>
      <w:r w:rsidRPr="00DA5344">
        <w:t xml:space="preserve">oiler regulation was </w:t>
      </w:r>
      <w:r w:rsidR="00431B1F">
        <w:t>adopted on December 29, 2010</w:t>
      </w:r>
      <w:r w:rsidRPr="00DA5344">
        <w:t xml:space="preserve"> and became effective on January 28, 2011. Portions of the current regulation including stack height, setback, certification, and nuisance related guidelines remain in effect as of April 15, 2011 and include: </w:t>
      </w:r>
    </w:p>
    <w:p w:rsidR="00FB3A0A" w:rsidRPr="00457FCC" w:rsidRDefault="00FB3A0A" w:rsidP="00FB3A0A">
      <w:pPr>
        <w:pStyle w:val="ListParagraph"/>
      </w:pPr>
    </w:p>
    <w:p w:rsidR="00FB3A0A" w:rsidRDefault="00FB3A0A" w:rsidP="00FB3A0A">
      <w:pPr>
        <w:pStyle w:val="ListParagraph"/>
        <w:numPr>
          <w:ilvl w:val="0"/>
          <w:numId w:val="3"/>
        </w:numPr>
      </w:pPr>
      <w:r w:rsidRPr="00457FCC">
        <w:t>Minimum stack height of 18 feet above ground level.</w:t>
      </w:r>
    </w:p>
    <w:p w:rsidR="00FB3A0A" w:rsidRPr="00457FCC" w:rsidRDefault="00FB3A0A" w:rsidP="00FB3A0A">
      <w:pPr>
        <w:pStyle w:val="ListParagraph"/>
        <w:numPr>
          <w:ilvl w:val="0"/>
          <w:numId w:val="3"/>
        </w:numPr>
      </w:pPr>
      <w:r w:rsidRPr="00457FCC">
        <w:t>Setback requirements:</w:t>
      </w:r>
    </w:p>
    <w:p w:rsidR="00FB3A0A" w:rsidRPr="00457FCC" w:rsidRDefault="00FB3A0A" w:rsidP="00FB3A0A">
      <w:pPr>
        <w:pStyle w:val="ListParagraph"/>
        <w:numPr>
          <w:ilvl w:val="0"/>
          <w:numId w:val="2"/>
        </w:numPr>
      </w:pPr>
      <w:r w:rsidRPr="00457FCC">
        <w:t>100 feet or more to the nearest</w:t>
      </w:r>
      <w:r>
        <w:t xml:space="preserve"> property boundary line for outdoor wood boilers</w:t>
      </w:r>
      <w:r w:rsidRPr="00457FCC">
        <w:t xml:space="preserve"> with maximum thermal output ratings less than or equal to 250,000 Btu/hour.</w:t>
      </w:r>
    </w:p>
    <w:p w:rsidR="00FB3A0A" w:rsidRDefault="00FB3A0A" w:rsidP="00FB3A0A">
      <w:pPr>
        <w:pStyle w:val="ListParagraph"/>
        <w:numPr>
          <w:ilvl w:val="0"/>
          <w:numId w:val="2"/>
        </w:numPr>
      </w:pPr>
      <w:r>
        <w:t>200 feet or more to the nearest property boundary line, 300 feet or more to the nearest property boundary line of a residentially-zoned property and 1000 feet or more from a school for outdoor wood boilers with maximum thermal output ratings greater than 250,000 Btu/hour.</w:t>
      </w:r>
    </w:p>
    <w:p w:rsidR="00FB3A0A" w:rsidRDefault="00FB3A0A" w:rsidP="00FB3A0A">
      <w:pPr>
        <w:pStyle w:val="ListParagraph"/>
        <w:numPr>
          <w:ilvl w:val="0"/>
          <w:numId w:val="2"/>
        </w:numPr>
      </w:pPr>
      <w:r>
        <w:t>Setbacks may be based on distances to residences not served by an outdoor wood boiler if the boiler is located on contiguous agricultural lands larger than five acres.</w:t>
      </w:r>
    </w:p>
    <w:p w:rsidR="00FB3A0A" w:rsidRDefault="00FB3A0A" w:rsidP="00FB3A0A">
      <w:pPr>
        <w:pStyle w:val="ListParagraph"/>
        <w:numPr>
          <w:ilvl w:val="0"/>
          <w:numId w:val="2"/>
        </w:numPr>
      </w:pPr>
      <w:r>
        <w:t>Customers must make sure their setback is based upon the maximum thermal output of their outdoor wood boiler and should consider contacting the manufacturer directly for this information.</w:t>
      </w:r>
    </w:p>
    <w:p w:rsidR="00FB3A0A" w:rsidRDefault="00FB3A0A" w:rsidP="00FB3A0A">
      <w:pPr>
        <w:pStyle w:val="ListParagraph"/>
        <w:numPr>
          <w:ilvl w:val="0"/>
          <w:numId w:val="3"/>
        </w:numPr>
      </w:pPr>
      <w:r>
        <w:t xml:space="preserve">Distributors must provide potential customers with a copy of the regulation (Part 247) and a Notice to Buyers form.  A template for the Notice to Buyers is available on the DEC website at </w:t>
      </w:r>
      <w:hyperlink r:id="rId8" w:history="1">
        <w:r w:rsidRPr="00BC5AC6">
          <w:rPr>
            <w:rStyle w:val="Hyperlink"/>
          </w:rPr>
          <w:t>www.dec.ny.gov/docs/air_pdf/owbbuyer.pdf</w:t>
        </w:r>
      </w:hyperlink>
      <w:r>
        <w:t>.</w:t>
      </w:r>
    </w:p>
    <w:p w:rsidR="00FB3A0A" w:rsidRDefault="00FB3A0A" w:rsidP="00FB3A0A">
      <w:pPr>
        <w:pStyle w:val="ListParagraph"/>
        <w:numPr>
          <w:ilvl w:val="0"/>
          <w:numId w:val="3"/>
        </w:numPr>
      </w:pPr>
      <w:r>
        <w:t xml:space="preserve">The opacity and nuisance provisions set forth in the current rule apply to all outdoor wood boilers. Potential buyers must be aware that </w:t>
      </w:r>
      <w:r w:rsidRPr="00FD2CBF">
        <w:t>even if the requirements of</w:t>
      </w:r>
      <w:r>
        <w:t xml:space="preserve"> the regulation</w:t>
      </w:r>
      <w:r w:rsidRPr="00FD2CBF">
        <w:t xml:space="preserve"> are met, there may be conditions or locations in which the use of a new outdoor wood boiler unreasonably interferes with another person’s use or enjoyment of property or even damages human health.  If such a situation occurs, the owner or lessee of the new outdoor wood boiler causing the situation may be subject to sanctions that can include a requirement to remove the device at their own expense as well as any other penalty allowed by law.</w:t>
      </w:r>
    </w:p>
    <w:p w:rsidR="00FB3A0A" w:rsidRDefault="00FB3A0A" w:rsidP="00FB3A0A">
      <w:pPr>
        <w:pStyle w:val="ListParagraph"/>
        <w:ind w:left="990"/>
        <w:jc w:val="center"/>
      </w:pPr>
    </w:p>
    <w:p w:rsidR="00FB3A0A" w:rsidRPr="00FB3A0A" w:rsidRDefault="00FB3A0A" w:rsidP="00FB3A0A">
      <w:pPr>
        <w:pStyle w:val="ListParagraph"/>
        <w:ind w:left="0"/>
        <w:jc w:val="center"/>
        <w:rPr>
          <w:b/>
        </w:rPr>
      </w:pPr>
      <w:r w:rsidRPr="00FB3A0A">
        <w:rPr>
          <w:b/>
        </w:rPr>
        <w:t>(MORE)</w:t>
      </w:r>
    </w:p>
    <w:p w:rsidR="00FB3A0A" w:rsidRDefault="00FB3A0A" w:rsidP="00FB3A0A">
      <w:pPr>
        <w:jc w:val="center"/>
      </w:pPr>
      <w:r>
        <w:lastRenderedPageBreak/>
        <w:t>-2-</w:t>
      </w:r>
    </w:p>
    <w:p w:rsidR="00FB3A0A" w:rsidRDefault="00FB3A0A" w:rsidP="00FB3A0A">
      <w:pPr>
        <w:ind w:firstLine="540"/>
      </w:pPr>
    </w:p>
    <w:p w:rsidR="00FB3A0A" w:rsidRDefault="00FB3A0A" w:rsidP="00FB3A0A">
      <w:pPr>
        <w:ind w:firstLine="540"/>
      </w:pPr>
    </w:p>
    <w:p w:rsidR="00FB3A0A" w:rsidRDefault="00FB3A0A" w:rsidP="00FB3A0A">
      <w:pPr>
        <w:ind w:firstLine="540"/>
      </w:pPr>
    </w:p>
    <w:p w:rsidR="00FB3A0A" w:rsidRDefault="00FB3A0A" w:rsidP="00FB3A0A">
      <w:pPr>
        <w:ind w:right="-720" w:firstLine="540"/>
      </w:pPr>
      <w:r>
        <w:t xml:space="preserve">For more information on the regulation and details on purchasing an outdoor wood boiler in </w:t>
      </w:r>
    </w:p>
    <w:p w:rsidR="00FB3A0A" w:rsidRDefault="00FB3A0A" w:rsidP="00FB3A0A">
      <w:pPr>
        <w:ind w:right="-720"/>
      </w:pPr>
      <w:r>
        <w:t xml:space="preserve">New York State, visit </w:t>
      </w:r>
      <w:hyperlink r:id="rId9" w:history="1">
        <w:r w:rsidRPr="000A1976">
          <w:rPr>
            <w:rStyle w:val="Hyperlink"/>
          </w:rPr>
          <w:t>http://www.dec.ny.gov/chemical/73694.html</w:t>
        </w:r>
      </w:hyperlink>
      <w:r>
        <w:t xml:space="preserve"> on the DEC website.  For more details on the extension and emergency rule, visit </w:t>
      </w:r>
      <w:hyperlink r:id="rId10" w:history="1">
        <w:r w:rsidRPr="007E5456">
          <w:rPr>
            <w:rStyle w:val="Hyperlink"/>
          </w:rPr>
          <w:t>http://www.dec.ny.gov/regulations/73788.html</w:t>
        </w:r>
      </w:hyperlink>
      <w:r>
        <w:t>.</w:t>
      </w:r>
    </w:p>
    <w:p w:rsidR="00FB3A0A" w:rsidRDefault="00FB3A0A">
      <w:pPr>
        <w:widowControl w:val="0"/>
      </w:pPr>
    </w:p>
    <w:p w:rsidR="00FB3A0A" w:rsidRDefault="00FB3A0A" w:rsidP="00FB3A0A">
      <w:pPr>
        <w:widowControl w:val="0"/>
        <w:jc w:val="center"/>
      </w:pPr>
      <w:r>
        <w:t>###</w:t>
      </w:r>
    </w:p>
    <w:p w:rsidR="00FB3A0A" w:rsidRDefault="00FB3A0A">
      <w:pPr>
        <w:widowControl w:val="0"/>
      </w:pPr>
    </w:p>
    <w:p w:rsidR="00FB3A0A" w:rsidRDefault="002767B2">
      <w:pPr>
        <w:widowControl w:val="0"/>
      </w:pPr>
      <w:r>
        <w:t>11-30</w:t>
      </w:r>
    </w:p>
    <w:sectPr w:rsidR="00FB3A0A" w:rsidSect="00FB3A0A">
      <w:headerReference w:type="even" r:id="rId11"/>
      <w:headerReference w:type="default" r:id="rId12"/>
      <w:footerReference w:type="even" r:id="rId13"/>
      <w:footerReference w:type="default" r:id="rId14"/>
      <w:headerReference w:type="first" r:id="rId15"/>
      <w:footerReference w:type="first" r:id="rId16"/>
      <w:pgSz w:w="12240" w:h="15840"/>
      <w:pgMar w:top="576" w:right="1440" w:bottom="288" w:left="1440" w:header="144"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160" w:rsidRDefault="00B56160">
      <w:r>
        <w:separator/>
      </w:r>
    </w:p>
  </w:endnote>
  <w:endnote w:type="continuationSeparator" w:id="0">
    <w:p w:rsidR="00B56160" w:rsidRDefault="00B56160">
      <w:r>
        <w:continuationSeparator/>
      </w:r>
    </w:p>
  </w:endnote>
</w:endnotes>
</file>

<file path=word/fontTable.xml><?xml version="1.0" encoding="utf-8"?>
<w:fonts xmlns:r="http://schemas.openxmlformats.org/officeDocument/2006/relationships" xmlns:w="http://schemas.openxmlformats.org/wordprocessingml/2006/main">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44E" w:rsidRDefault="00EB744E">
    <w:pPr>
      <w:widowControl w:val="0"/>
      <w:tabs>
        <w:tab w:val="left" w:pos="0"/>
        <w:tab w:val="left" w:pos="720"/>
        <w:tab w:val="left" w:pos="14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44E" w:rsidRDefault="00EB744E">
    <w:pPr>
      <w:widowControl w:val="0"/>
      <w:tabs>
        <w:tab w:val="left" w:pos="0"/>
        <w:tab w:val="left" w:pos="720"/>
        <w:tab w:val="left" w:pos="1440"/>
      </w:tabs>
      <w:spacing w:line="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44E" w:rsidRDefault="00EB744E" w:rsidP="006155C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160" w:rsidRDefault="00B56160">
      <w:r>
        <w:separator/>
      </w:r>
    </w:p>
  </w:footnote>
  <w:footnote w:type="continuationSeparator" w:id="0">
    <w:p w:rsidR="00B56160" w:rsidRDefault="00B56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44E" w:rsidRDefault="00EB744E">
    <w:pPr>
      <w:widowControl w:val="0"/>
      <w:tabs>
        <w:tab w:val="left" w:pos="0"/>
        <w:tab w:val="left" w:pos="720"/>
        <w:tab w:val="left" w:pos="14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44E" w:rsidRDefault="00EB744E">
    <w:pPr>
      <w:widowControl w:val="0"/>
      <w:tabs>
        <w:tab w:val="left" w:pos="0"/>
        <w:tab w:val="left" w:pos="720"/>
        <w:tab w:val="left" w:pos="144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F7" w:rsidRDefault="006321F7">
    <w:pPr>
      <w:pStyle w:val="Header"/>
    </w:pPr>
    <w:r w:rsidRPr="006321F7">
      <w:rPr>
        <w:noProof/>
      </w:rPr>
      <w:drawing>
        <wp:inline distT="0" distB="0" distL="0" distR="0">
          <wp:extent cx="5921753" cy="1105393"/>
          <wp:effectExtent l="19050" t="0" r="2797" b="0"/>
          <wp:docPr id="3" name="Picture 1" descr="Central Office PrRls Letterhead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 Office PrRls Letterhead2008"/>
                  <pic:cNvPicPr>
                    <a:picLocks noChangeAspect="1" noChangeArrowheads="1"/>
                  </pic:cNvPicPr>
                </pic:nvPicPr>
                <pic:blipFill>
                  <a:blip r:embed="rId1"/>
                  <a:stretch>
                    <a:fillRect/>
                  </a:stretch>
                </pic:blipFill>
                <pic:spPr bwMode="auto">
                  <a:xfrm>
                    <a:off x="0" y="0"/>
                    <a:ext cx="5921753" cy="110539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92049F6"/>
    <w:multiLevelType w:val="hybridMultilevel"/>
    <w:tmpl w:val="3E4C428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F641C60"/>
    <w:multiLevelType w:val="hybridMultilevel"/>
    <w:tmpl w:val="81CA95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bordersDoNotSurroundHeader/>
  <w:bordersDoNotSurroundFooter/>
  <w:proofState w:spelling="clean"/>
  <w:attachedTemplate r:id="rId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1746"/>
  </w:hdrShapeDefaults>
  <w:footnotePr>
    <w:footnote w:id="-1"/>
    <w:footnote w:id="0"/>
  </w:footnotePr>
  <w:endnotePr>
    <w:endnote w:id="-1"/>
    <w:endnote w:id="0"/>
  </w:endnotePr>
  <w:compat/>
  <w:rsids>
    <w:rsidRoot w:val="00431B1F"/>
    <w:rsid w:val="00060990"/>
    <w:rsid w:val="00085A0E"/>
    <w:rsid w:val="00137B83"/>
    <w:rsid w:val="00153376"/>
    <w:rsid w:val="001D1B54"/>
    <w:rsid w:val="0025350C"/>
    <w:rsid w:val="002767B2"/>
    <w:rsid w:val="002E05D5"/>
    <w:rsid w:val="002F2362"/>
    <w:rsid w:val="00350CCD"/>
    <w:rsid w:val="00361337"/>
    <w:rsid w:val="00431B1F"/>
    <w:rsid w:val="00466E27"/>
    <w:rsid w:val="004E3167"/>
    <w:rsid w:val="004F005B"/>
    <w:rsid w:val="00501949"/>
    <w:rsid w:val="00542008"/>
    <w:rsid w:val="00613B26"/>
    <w:rsid w:val="006155CD"/>
    <w:rsid w:val="006321F7"/>
    <w:rsid w:val="008A1EF7"/>
    <w:rsid w:val="009325B8"/>
    <w:rsid w:val="009D326C"/>
    <w:rsid w:val="009E36F6"/>
    <w:rsid w:val="009E3991"/>
    <w:rsid w:val="00A22BDB"/>
    <w:rsid w:val="00A41EF8"/>
    <w:rsid w:val="00A825D1"/>
    <w:rsid w:val="00A85572"/>
    <w:rsid w:val="00AA3D8A"/>
    <w:rsid w:val="00AB6462"/>
    <w:rsid w:val="00AC0024"/>
    <w:rsid w:val="00AC4ACF"/>
    <w:rsid w:val="00B15886"/>
    <w:rsid w:val="00B56160"/>
    <w:rsid w:val="00C6092B"/>
    <w:rsid w:val="00DA6C3E"/>
    <w:rsid w:val="00DF401B"/>
    <w:rsid w:val="00EB744E"/>
    <w:rsid w:val="00EC61E8"/>
    <w:rsid w:val="00F21359"/>
    <w:rsid w:val="00F952EA"/>
    <w:rsid w:val="00FB3A0A"/>
    <w:rsid w:val="00FC44C1"/>
    <w:rsid w:val="00FC7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CC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326C"/>
    <w:pPr>
      <w:tabs>
        <w:tab w:val="center" w:pos="4680"/>
        <w:tab w:val="right" w:pos="9360"/>
      </w:tabs>
    </w:pPr>
  </w:style>
  <w:style w:type="paragraph" w:customStyle="1" w:styleId="Outline0011">
    <w:name w:val="Outline001_1"/>
    <w:basedOn w:val="Normal"/>
    <w:rsid w:val="00350C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Symbol" w:hAnsi="Symbol"/>
    </w:rPr>
  </w:style>
  <w:style w:type="paragraph" w:customStyle="1" w:styleId="Outline0012">
    <w:name w:val="Outline001_2"/>
    <w:basedOn w:val="Normal"/>
    <w:rsid w:val="00350CC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ascii="Courier New" w:hAnsi="Courier New"/>
    </w:rPr>
  </w:style>
  <w:style w:type="paragraph" w:customStyle="1" w:styleId="Outline0013">
    <w:name w:val="Outline001_3"/>
    <w:basedOn w:val="Normal"/>
    <w:rsid w:val="00350CCD"/>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Wingdings" w:hAnsi="Wingdings"/>
    </w:rPr>
  </w:style>
  <w:style w:type="paragraph" w:customStyle="1" w:styleId="Outline0014">
    <w:name w:val="Outline001_4"/>
    <w:basedOn w:val="Normal"/>
    <w:rsid w:val="00350CCD"/>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Symbol" w:hAnsi="Symbol"/>
    </w:rPr>
  </w:style>
  <w:style w:type="paragraph" w:customStyle="1" w:styleId="Outline0015">
    <w:name w:val="Outline001_5"/>
    <w:basedOn w:val="Normal"/>
    <w:rsid w:val="00350CCD"/>
    <w:pPr>
      <w:widowControl w:val="0"/>
      <w:tabs>
        <w:tab w:val="left" w:pos="3240"/>
        <w:tab w:val="left" w:pos="3600"/>
        <w:tab w:val="left" w:pos="4320"/>
        <w:tab w:val="left" w:pos="5040"/>
        <w:tab w:val="left" w:pos="5760"/>
        <w:tab w:val="left" w:pos="6480"/>
        <w:tab w:val="left" w:pos="7200"/>
        <w:tab w:val="left" w:pos="7920"/>
      </w:tabs>
      <w:ind w:left="3240" w:hanging="360"/>
    </w:pPr>
    <w:rPr>
      <w:rFonts w:ascii="Courier New" w:hAnsi="Courier New"/>
    </w:rPr>
  </w:style>
  <w:style w:type="paragraph" w:customStyle="1" w:styleId="Outline0016">
    <w:name w:val="Outline001_6"/>
    <w:basedOn w:val="Normal"/>
    <w:rsid w:val="00350CCD"/>
    <w:pPr>
      <w:widowControl w:val="0"/>
      <w:tabs>
        <w:tab w:val="left" w:pos="3960"/>
        <w:tab w:val="left" w:pos="4320"/>
        <w:tab w:val="left" w:pos="5040"/>
        <w:tab w:val="left" w:pos="5760"/>
        <w:tab w:val="left" w:pos="6480"/>
        <w:tab w:val="left" w:pos="7200"/>
        <w:tab w:val="left" w:pos="7920"/>
      </w:tabs>
      <w:ind w:left="3960" w:hanging="360"/>
    </w:pPr>
    <w:rPr>
      <w:rFonts w:ascii="Wingdings" w:hAnsi="Wingdings"/>
    </w:rPr>
  </w:style>
  <w:style w:type="paragraph" w:customStyle="1" w:styleId="Outline0017">
    <w:name w:val="Outline001_7"/>
    <w:basedOn w:val="Normal"/>
    <w:rsid w:val="00350CCD"/>
    <w:pPr>
      <w:widowControl w:val="0"/>
      <w:tabs>
        <w:tab w:val="left" w:pos="4680"/>
        <w:tab w:val="left" w:pos="5040"/>
        <w:tab w:val="left" w:pos="5760"/>
        <w:tab w:val="left" w:pos="6480"/>
        <w:tab w:val="left" w:pos="7200"/>
        <w:tab w:val="left" w:pos="7920"/>
      </w:tabs>
      <w:ind w:left="4680" w:hanging="360"/>
    </w:pPr>
    <w:rPr>
      <w:rFonts w:ascii="Symbol" w:hAnsi="Symbol"/>
    </w:rPr>
  </w:style>
  <w:style w:type="paragraph" w:customStyle="1" w:styleId="Outline0018">
    <w:name w:val="Outline001_8"/>
    <w:basedOn w:val="Normal"/>
    <w:rsid w:val="00350CCD"/>
    <w:pPr>
      <w:widowControl w:val="0"/>
      <w:tabs>
        <w:tab w:val="left" w:pos="5400"/>
        <w:tab w:val="left" w:pos="5760"/>
        <w:tab w:val="left" w:pos="6480"/>
        <w:tab w:val="left" w:pos="7200"/>
        <w:tab w:val="left" w:pos="7920"/>
      </w:tabs>
      <w:ind w:left="5400" w:hanging="360"/>
    </w:pPr>
    <w:rPr>
      <w:rFonts w:ascii="Courier New" w:hAnsi="Courier New"/>
    </w:rPr>
  </w:style>
  <w:style w:type="paragraph" w:customStyle="1" w:styleId="Outline0019">
    <w:name w:val="Outline001_9"/>
    <w:basedOn w:val="Normal"/>
    <w:rsid w:val="00350CCD"/>
    <w:pPr>
      <w:widowControl w:val="0"/>
      <w:tabs>
        <w:tab w:val="left" w:pos="6120"/>
        <w:tab w:val="left" w:pos="6480"/>
        <w:tab w:val="left" w:pos="7200"/>
        <w:tab w:val="left" w:pos="7920"/>
      </w:tabs>
      <w:ind w:left="6120" w:hanging="360"/>
    </w:pPr>
    <w:rPr>
      <w:rFonts w:ascii="Wingdings" w:hAnsi="Wingdings"/>
    </w:rPr>
  </w:style>
  <w:style w:type="paragraph" w:customStyle="1" w:styleId="Level1">
    <w:name w:val="Level 1"/>
    <w:basedOn w:val="Normal"/>
    <w:rsid w:val="00350CCD"/>
    <w:pPr>
      <w:widowControl w:val="0"/>
    </w:pPr>
  </w:style>
  <w:style w:type="paragraph" w:customStyle="1" w:styleId="Level2">
    <w:name w:val="Level 2"/>
    <w:basedOn w:val="Normal"/>
    <w:rsid w:val="00350CCD"/>
    <w:pPr>
      <w:widowControl w:val="0"/>
    </w:pPr>
  </w:style>
  <w:style w:type="paragraph" w:customStyle="1" w:styleId="Level3">
    <w:name w:val="Level 3"/>
    <w:basedOn w:val="Normal"/>
    <w:rsid w:val="00350CCD"/>
    <w:pPr>
      <w:widowControl w:val="0"/>
    </w:pPr>
  </w:style>
  <w:style w:type="paragraph" w:customStyle="1" w:styleId="Level4">
    <w:name w:val="Level 4"/>
    <w:basedOn w:val="Normal"/>
    <w:rsid w:val="00350CCD"/>
    <w:pPr>
      <w:widowControl w:val="0"/>
    </w:pPr>
  </w:style>
  <w:style w:type="paragraph" w:customStyle="1" w:styleId="Level5">
    <w:name w:val="Level 5"/>
    <w:basedOn w:val="Normal"/>
    <w:rsid w:val="00350CCD"/>
    <w:pPr>
      <w:widowControl w:val="0"/>
    </w:pPr>
  </w:style>
  <w:style w:type="paragraph" w:customStyle="1" w:styleId="Level6">
    <w:name w:val="Level 6"/>
    <w:basedOn w:val="Normal"/>
    <w:rsid w:val="00350CCD"/>
    <w:pPr>
      <w:widowControl w:val="0"/>
    </w:pPr>
  </w:style>
  <w:style w:type="paragraph" w:customStyle="1" w:styleId="Level7">
    <w:name w:val="Level 7"/>
    <w:basedOn w:val="Normal"/>
    <w:rsid w:val="00350CCD"/>
    <w:pPr>
      <w:widowControl w:val="0"/>
    </w:pPr>
  </w:style>
  <w:style w:type="paragraph" w:customStyle="1" w:styleId="Level8">
    <w:name w:val="Level 8"/>
    <w:basedOn w:val="Normal"/>
    <w:rsid w:val="00350CCD"/>
    <w:pPr>
      <w:widowControl w:val="0"/>
    </w:pPr>
  </w:style>
  <w:style w:type="paragraph" w:customStyle="1" w:styleId="Level9">
    <w:name w:val="Level 9"/>
    <w:basedOn w:val="Normal"/>
    <w:rsid w:val="00350CCD"/>
    <w:pPr>
      <w:widowControl w:val="0"/>
    </w:pPr>
  </w:style>
  <w:style w:type="paragraph" w:customStyle="1" w:styleId="26">
    <w:name w:val="_26"/>
    <w:basedOn w:val="Normal"/>
    <w:rsid w:val="00350CCD"/>
    <w:pPr>
      <w:widowControl w:val="0"/>
    </w:pPr>
  </w:style>
  <w:style w:type="paragraph" w:customStyle="1" w:styleId="25">
    <w:name w:val="_25"/>
    <w:basedOn w:val="Normal"/>
    <w:rsid w:val="00350CC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350CC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350CC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350CCD"/>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350CCD"/>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350CCD"/>
    <w:pPr>
      <w:widowControl w:val="0"/>
      <w:tabs>
        <w:tab w:val="left" w:pos="5040"/>
        <w:tab w:val="left" w:pos="5760"/>
        <w:tab w:val="left" w:pos="6480"/>
        <w:tab w:val="left" w:pos="7200"/>
        <w:tab w:val="left" w:pos="7920"/>
      </w:tabs>
      <w:ind w:left="5040"/>
    </w:pPr>
  </w:style>
  <w:style w:type="paragraph" w:customStyle="1" w:styleId="19">
    <w:name w:val="_19"/>
    <w:basedOn w:val="Normal"/>
    <w:rsid w:val="00350CCD"/>
    <w:pPr>
      <w:widowControl w:val="0"/>
      <w:tabs>
        <w:tab w:val="left" w:pos="5760"/>
        <w:tab w:val="left" w:pos="6480"/>
        <w:tab w:val="left" w:pos="7200"/>
        <w:tab w:val="left" w:pos="7920"/>
      </w:tabs>
      <w:ind w:left="5760"/>
    </w:pPr>
  </w:style>
  <w:style w:type="paragraph" w:customStyle="1" w:styleId="18">
    <w:name w:val="_18"/>
    <w:basedOn w:val="Normal"/>
    <w:rsid w:val="00350CCD"/>
    <w:pPr>
      <w:widowControl w:val="0"/>
      <w:tabs>
        <w:tab w:val="left" w:pos="6480"/>
        <w:tab w:val="left" w:pos="7200"/>
        <w:tab w:val="left" w:pos="7920"/>
      </w:tabs>
      <w:ind w:left="6480"/>
    </w:pPr>
  </w:style>
  <w:style w:type="paragraph" w:customStyle="1" w:styleId="17">
    <w:name w:val="_17"/>
    <w:basedOn w:val="Normal"/>
    <w:rsid w:val="00350C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350CC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350CC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350CC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350CCD"/>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350CCD"/>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350CCD"/>
    <w:pPr>
      <w:widowControl w:val="0"/>
      <w:tabs>
        <w:tab w:val="left" w:pos="5040"/>
        <w:tab w:val="left" w:pos="5760"/>
        <w:tab w:val="left" w:pos="6480"/>
        <w:tab w:val="left" w:pos="7200"/>
        <w:tab w:val="left" w:pos="7920"/>
      </w:tabs>
      <w:ind w:left="5040"/>
    </w:pPr>
  </w:style>
  <w:style w:type="paragraph" w:customStyle="1" w:styleId="10">
    <w:name w:val="_10"/>
    <w:basedOn w:val="Normal"/>
    <w:rsid w:val="00350CCD"/>
    <w:pPr>
      <w:widowControl w:val="0"/>
      <w:tabs>
        <w:tab w:val="left" w:pos="5760"/>
        <w:tab w:val="left" w:pos="6480"/>
        <w:tab w:val="left" w:pos="7200"/>
        <w:tab w:val="left" w:pos="7920"/>
      </w:tabs>
      <w:ind w:left="5760"/>
    </w:pPr>
  </w:style>
  <w:style w:type="paragraph" w:customStyle="1" w:styleId="9">
    <w:name w:val="_9"/>
    <w:basedOn w:val="Normal"/>
    <w:rsid w:val="00350CCD"/>
    <w:pPr>
      <w:widowControl w:val="0"/>
      <w:tabs>
        <w:tab w:val="left" w:pos="6480"/>
        <w:tab w:val="left" w:pos="7200"/>
        <w:tab w:val="left" w:pos="7920"/>
      </w:tabs>
      <w:ind w:left="6480"/>
    </w:pPr>
  </w:style>
  <w:style w:type="paragraph" w:customStyle="1" w:styleId="8">
    <w:name w:val="_8"/>
    <w:basedOn w:val="Normal"/>
    <w:rsid w:val="00350C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350CC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350CC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350CC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350CCD"/>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350CCD"/>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350CCD"/>
    <w:pPr>
      <w:widowControl w:val="0"/>
      <w:tabs>
        <w:tab w:val="left" w:pos="5040"/>
        <w:tab w:val="left" w:pos="5760"/>
        <w:tab w:val="left" w:pos="6480"/>
        <w:tab w:val="left" w:pos="7200"/>
        <w:tab w:val="left" w:pos="7920"/>
      </w:tabs>
      <w:ind w:left="5040"/>
    </w:pPr>
  </w:style>
  <w:style w:type="paragraph" w:customStyle="1" w:styleId="1">
    <w:name w:val="_1"/>
    <w:basedOn w:val="Normal"/>
    <w:rsid w:val="00350CCD"/>
    <w:pPr>
      <w:widowControl w:val="0"/>
      <w:tabs>
        <w:tab w:val="left" w:pos="5760"/>
        <w:tab w:val="left" w:pos="6480"/>
        <w:tab w:val="left" w:pos="7200"/>
        <w:tab w:val="left" w:pos="7920"/>
      </w:tabs>
      <w:ind w:left="5760"/>
    </w:pPr>
  </w:style>
  <w:style w:type="paragraph" w:customStyle="1" w:styleId="a">
    <w:name w:val="_"/>
    <w:basedOn w:val="Normal"/>
    <w:rsid w:val="00350CCD"/>
    <w:pPr>
      <w:widowControl w:val="0"/>
      <w:tabs>
        <w:tab w:val="left" w:pos="6480"/>
        <w:tab w:val="left" w:pos="7200"/>
        <w:tab w:val="left" w:pos="7920"/>
      </w:tabs>
      <w:ind w:left="6480"/>
    </w:pPr>
  </w:style>
  <w:style w:type="character" w:customStyle="1" w:styleId="DefaultPara">
    <w:name w:val="Default Para"/>
    <w:basedOn w:val="DefaultParagraphFont"/>
    <w:rsid w:val="00350CCD"/>
  </w:style>
  <w:style w:type="character" w:customStyle="1" w:styleId="HeaderChar">
    <w:name w:val="Header Char"/>
    <w:basedOn w:val="DefaultParagraphFont"/>
    <w:link w:val="Header"/>
    <w:uiPriority w:val="99"/>
    <w:semiHidden/>
    <w:rsid w:val="009D326C"/>
    <w:rPr>
      <w:sz w:val="24"/>
    </w:rPr>
  </w:style>
  <w:style w:type="paragraph" w:styleId="Footer">
    <w:name w:val="footer"/>
    <w:basedOn w:val="Normal"/>
    <w:link w:val="FooterChar"/>
    <w:uiPriority w:val="99"/>
    <w:semiHidden/>
    <w:unhideWhenUsed/>
    <w:rsid w:val="009D326C"/>
    <w:pPr>
      <w:tabs>
        <w:tab w:val="center" w:pos="4680"/>
        <w:tab w:val="right" w:pos="9360"/>
      </w:tabs>
    </w:pPr>
  </w:style>
  <w:style w:type="character" w:customStyle="1" w:styleId="FooterChar">
    <w:name w:val="Footer Char"/>
    <w:basedOn w:val="DefaultParagraphFont"/>
    <w:link w:val="Footer"/>
    <w:uiPriority w:val="99"/>
    <w:semiHidden/>
    <w:rsid w:val="009D326C"/>
    <w:rPr>
      <w:sz w:val="24"/>
    </w:rPr>
  </w:style>
  <w:style w:type="paragraph" w:styleId="BalloonText">
    <w:name w:val="Balloon Text"/>
    <w:basedOn w:val="Normal"/>
    <w:link w:val="BalloonTextChar"/>
    <w:uiPriority w:val="99"/>
    <w:semiHidden/>
    <w:unhideWhenUsed/>
    <w:rsid w:val="009D326C"/>
    <w:rPr>
      <w:rFonts w:ascii="Tahoma" w:hAnsi="Tahoma" w:cs="Tahoma"/>
      <w:sz w:val="16"/>
      <w:szCs w:val="16"/>
    </w:rPr>
  </w:style>
  <w:style w:type="character" w:customStyle="1" w:styleId="BalloonTextChar">
    <w:name w:val="Balloon Text Char"/>
    <w:basedOn w:val="DefaultParagraphFont"/>
    <w:link w:val="BalloonText"/>
    <w:uiPriority w:val="99"/>
    <w:semiHidden/>
    <w:rsid w:val="009D326C"/>
    <w:rPr>
      <w:rFonts w:ascii="Tahoma" w:hAnsi="Tahoma" w:cs="Tahoma"/>
      <w:sz w:val="16"/>
      <w:szCs w:val="16"/>
    </w:rPr>
  </w:style>
  <w:style w:type="paragraph" w:styleId="NormalWeb">
    <w:name w:val="Normal (Web)"/>
    <w:basedOn w:val="Normal"/>
    <w:uiPriority w:val="99"/>
    <w:unhideWhenUsed/>
    <w:rsid w:val="00FB3A0A"/>
    <w:pPr>
      <w:spacing w:after="180" w:line="372" w:lineRule="atLeast"/>
    </w:pPr>
    <w:rPr>
      <w:rFonts w:ascii="Helvetica" w:hAnsi="Helvetica" w:cs="Helvetica"/>
      <w:szCs w:val="24"/>
    </w:rPr>
  </w:style>
  <w:style w:type="paragraph" w:styleId="ListParagraph">
    <w:name w:val="List Paragraph"/>
    <w:basedOn w:val="Normal"/>
    <w:uiPriority w:val="34"/>
    <w:qFormat/>
    <w:rsid w:val="00FB3A0A"/>
    <w:pPr>
      <w:ind w:left="720"/>
      <w:contextualSpacing/>
    </w:pPr>
    <w:rPr>
      <w:szCs w:val="24"/>
    </w:rPr>
  </w:style>
  <w:style w:type="character" w:styleId="Hyperlink">
    <w:name w:val="Hyperlink"/>
    <w:basedOn w:val="DefaultParagraphFont"/>
    <w:rsid w:val="00FB3A0A"/>
    <w:rPr>
      <w:color w:val="0000FF" w:themeColor="hyperlink"/>
      <w:u w:val="single"/>
    </w:rPr>
  </w:style>
  <w:style w:type="character" w:styleId="FollowedHyperlink">
    <w:name w:val="FollowedHyperlink"/>
    <w:basedOn w:val="DefaultParagraphFont"/>
    <w:uiPriority w:val="99"/>
    <w:semiHidden/>
    <w:unhideWhenUsed/>
    <w:rsid w:val="00FB3A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c.ny.gov/docs/air_pdf/owbbuyer.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ec.ny.gov/regulations/73788.html" TargetMode="External"/><Relationship Id="rId4" Type="http://schemas.openxmlformats.org/officeDocument/2006/relationships/settings" Target="settings.xml"/><Relationship Id="rId9" Type="http://schemas.openxmlformats.org/officeDocument/2006/relationships/hyperlink" Target="http://www.dec.ny.gov/chemical/73694.htm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R:\lhd-word\pressrel\Central%20Off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F48FD-7699-421C-AB84-B026F91A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Central Office.dotx</Template>
  <TotalTime>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NYSDEC</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mccleave</dc:creator>
  <cp:keywords/>
  <cp:lastModifiedBy>New York State Senate</cp:lastModifiedBy>
  <cp:revision>2</cp:revision>
  <cp:lastPrinted>2011-04-15T16:14:00Z</cp:lastPrinted>
  <dcterms:created xsi:type="dcterms:W3CDTF">2011-04-15T19:39:00Z</dcterms:created>
  <dcterms:modified xsi:type="dcterms:W3CDTF">2011-04-15T19:39:00Z</dcterms:modified>
</cp:coreProperties>
</file>