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AC" w:rsidRDefault="007511AC" w:rsidP="007452FF">
      <w:pPr>
        <w:spacing w:after="0" w:line="240" w:lineRule="auto"/>
        <w:jc w:val="center"/>
        <w:rPr>
          <w:rFonts w:ascii="Times New Roman" w:hAnsi="Times New Roman" w:cs="Times New Roman"/>
          <w:sz w:val="24"/>
          <w:szCs w:val="24"/>
        </w:rPr>
      </w:pPr>
      <w:r w:rsidRPr="007511AC">
        <w:rPr>
          <w:rFonts w:ascii="Times New Roman" w:hAnsi="Times New Roman" w:cs="Times New Roman"/>
          <w:noProof/>
          <w:sz w:val="24"/>
          <w:szCs w:val="24"/>
        </w:rPr>
        <w:drawing>
          <wp:inline distT="0" distB="0" distL="0" distR="0">
            <wp:extent cx="5943600" cy="135382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943600" cy="1353820"/>
                    </a:xfrm>
                    <a:prstGeom prst="rect">
                      <a:avLst/>
                    </a:prstGeom>
                    <a:noFill/>
                    <a:ln w="9525">
                      <a:noFill/>
                      <a:miter lim="800000"/>
                      <a:headEnd/>
                      <a:tailEnd/>
                    </a:ln>
                  </pic:spPr>
                </pic:pic>
              </a:graphicData>
            </a:graphic>
          </wp:inline>
        </w:drawing>
      </w:r>
    </w:p>
    <w:p w:rsidR="007511AC" w:rsidRDefault="000A3652" w:rsidP="007511AC">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March 14, 2011</w:t>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r>
      <w:r w:rsidR="007511AC">
        <w:rPr>
          <w:rFonts w:asciiTheme="majorHAnsi" w:hAnsiTheme="majorHAnsi"/>
          <w:b/>
          <w:sz w:val="24"/>
          <w:szCs w:val="28"/>
        </w:rPr>
        <w:tab/>
        <w:t xml:space="preserve">          </w:t>
      </w:r>
      <w:r w:rsidR="00450AA2">
        <w:rPr>
          <w:rFonts w:asciiTheme="majorHAnsi" w:hAnsiTheme="majorHAnsi"/>
          <w:b/>
          <w:sz w:val="24"/>
          <w:szCs w:val="28"/>
        </w:rPr>
        <w:t xml:space="preserve">  </w:t>
      </w:r>
      <w:r w:rsidR="007511AC">
        <w:rPr>
          <w:rFonts w:asciiTheme="majorHAnsi" w:hAnsiTheme="majorHAnsi"/>
          <w:b/>
          <w:sz w:val="24"/>
          <w:szCs w:val="28"/>
        </w:rPr>
        <w:t xml:space="preserve">Contact: Greg </w:t>
      </w:r>
      <w:proofErr w:type="spellStart"/>
      <w:r w:rsidR="007511AC">
        <w:rPr>
          <w:rFonts w:asciiTheme="majorHAnsi" w:hAnsiTheme="majorHAnsi"/>
          <w:b/>
          <w:sz w:val="24"/>
          <w:szCs w:val="28"/>
        </w:rPr>
        <w:t>Biryla</w:t>
      </w:r>
      <w:proofErr w:type="spellEnd"/>
    </w:p>
    <w:p w:rsidR="007511AC" w:rsidRDefault="00F348F8" w:rsidP="007511AC">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For Immediate Release</w:t>
      </w:r>
      <w:r w:rsidR="00450AA2">
        <w:rPr>
          <w:rFonts w:asciiTheme="majorHAnsi" w:hAnsiTheme="majorHAnsi"/>
          <w:b/>
          <w:sz w:val="24"/>
          <w:szCs w:val="28"/>
        </w:rPr>
        <w:tab/>
      </w:r>
      <w:r w:rsidR="00450AA2">
        <w:rPr>
          <w:rFonts w:asciiTheme="majorHAnsi" w:hAnsiTheme="majorHAnsi"/>
          <w:b/>
          <w:sz w:val="24"/>
          <w:szCs w:val="28"/>
        </w:rPr>
        <w:tab/>
      </w:r>
      <w:r w:rsidR="00450AA2">
        <w:rPr>
          <w:rFonts w:asciiTheme="majorHAnsi" w:hAnsiTheme="majorHAnsi"/>
          <w:b/>
          <w:sz w:val="24"/>
          <w:szCs w:val="28"/>
        </w:rPr>
        <w:tab/>
        <w:t xml:space="preserve">      </w:t>
      </w:r>
      <w:r w:rsidR="007511AC">
        <w:rPr>
          <w:rFonts w:asciiTheme="majorHAnsi" w:hAnsiTheme="majorHAnsi"/>
          <w:b/>
          <w:sz w:val="24"/>
          <w:szCs w:val="28"/>
        </w:rPr>
        <w:tab/>
      </w:r>
      <w:r w:rsidR="007511AC">
        <w:rPr>
          <w:rFonts w:asciiTheme="majorHAnsi" w:hAnsiTheme="majorHAnsi"/>
          <w:b/>
          <w:sz w:val="24"/>
          <w:szCs w:val="28"/>
        </w:rPr>
        <w:tab/>
        <w:t xml:space="preserve">         </w:t>
      </w:r>
      <w:r w:rsidR="007452FF">
        <w:rPr>
          <w:rFonts w:asciiTheme="majorHAnsi" w:hAnsiTheme="majorHAnsi"/>
          <w:b/>
          <w:sz w:val="24"/>
          <w:szCs w:val="28"/>
        </w:rPr>
        <w:t xml:space="preserve">                 </w:t>
      </w:r>
      <w:r w:rsidR="007511AC">
        <w:rPr>
          <w:rFonts w:asciiTheme="majorHAnsi" w:hAnsiTheme="majorHAnsi"/>
          <w:b/>
          <w:sz w:val="24"/>
          <w:szCs w:val="28"/>
        </w:rPr>
        <w:t xml:space="preserve"> </w:t>
      </w:r>
      <w:r w:rsidR="00450AA2">
        <w:rPr>
          <w:rFonts w:asciiTheme="majorHAnsi" w:hAnsiTheme="majorHAnsi"/>
          <w:b/>
          <w:sz w:val="24"/>
          <w:szCs w:val="28"/>
        </w:rPr>
        <w:t xml:space="preserve">         </w:t>
      </w:r>
      <w:r w:rsidR="007511AC">
        <w:rPr>
          <w:rFonts w:asciiTheme="majorHAnsi" w:hAnsiTheme="majorHAnsi"/>
          <w:b/>
          <w:sz w:val="24"/>
          <w:szCs w:val="28"/>
        </w:rPr>
        <w:t>716-310-2062</w:t>
      </w:r>
    </w:p>
    <w:p w:rsidR="007511AC" w:rsidRPr="00494406" w:rsidRDefault="007511AC" w:rsidP="00494406">
      <w:pPr>
        <w:tabs>
          <w:tab w:val="left" w:pos="2895"/>
        </w:tabs>
        <w:spacing w:line="240" w:lineRule="auto"/>
        <w:contextualSpacing/>
        <w:rPr>
          <w:rFonts w:asciiTheme="majorHAnsi" w:hAnsiTheme="majorHAnsi"/>
          <w:b/>
          <w:sz w:val="24"/>
          <w:szCs w:val="28"/>
        </w:rPr>
      </w:pP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r>
        <w:rPr>
          <w:rFonts w:asciiTheme="majorHAnsi" w:hAnsiTheme="majorHAnsi"/>
          <w:b/>
          <w:sz w:val="24"/>
          <w:szCs w:val="28"/>
        </w:rPr>
        <w:tab/>
      </w:r>
    </w:p>
    <w:p w:rsidR="000A3652" w:rsidRDefault="000A3652" w:rsidP="000A06F8">
      <w:pPr>
        <w:tabs>
          <w:tab w:val="left" w:pos="5910"/>
        </w:tabs>
        <w:spacing w:line="240" w:lineRule="auto"/>
        <w:jc w:val="center"/>
        <w:rPr>
          <w:rFonts w:asciiTheme="majorHAnsi" w:hAnsiTheme="majorHAnsi" w:cs="Times New Roman"/>
          <w:b/>
          <w:sz w:val="28"/>
          <w:szCs w:val="24"/>
        </w:rPr>
      </w:pPr>
      <w:r w:rsidRPr="000A3652">
        <w:rPr>
          <w:rFonts w:asciiTheme="majorHAnsi" w:hAnsiTheme="majorHAnsi" w:cs="Times New Roman"/>
          <w:b/>
          <w:sz w:val="28"/>
          <w:szCs w:val="24"/>
        </w:rPr>
        <w:t>State Senate Passes Legislation To Limit Protests at Military Funerals</w:t>
      </w:r>
    </w:p>
    <w:p w:rsid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Senator Patrick M. </w:t>
      </w:r>
      <w:proofErr w:type="spellStart"/>
      <w:r>
        <w:rPr>
          <w:rFonts w:asciiTheme="majorHAnsi" w:hAnsiTheme="majorHAnsi" w:cs="Times New Roman"/>
          <w:sz w:val="24"/>
          <w:szCs w:val="24"/>
        </w:rPr>
        <w:t>Gallivan</w:t>
      </w:r>
      <w:proofErr w:type="spellEnd"/>
      <w:r>
        <w:rPr>
          <w:rFonts w:asciiTheme="majorHAnsi" w:hAnsiTheme="majorHAnsi" w:cs="Times New Roman"/>
          <w:sz w:val="24"/>
          <w:szCs w:val="24"/>
        </w:rPr>
        <w:t xml:space="preserve"> (</w:t>
      </w:r>
      <w:proofErr w:type="spellStart"/>
      <w:r>
        <w:rPr>
          <w:rFonts w:asciiTheme="majorHAnsi" w:hAnsiTheme="majorHAnsi" w:cs="Times New Roman"/>
          <w:sz w:val="24"/>
          <w:szCs w:val="24"/>
        </w:rPr>
        <w:t>R,C,I</w:t>
      </w:r>
      <w:proofErr w:type="spellEnd"/>
      <w:r>
        <w:rPr>
          <w:rFonts w:asciiTheme="majorHAnsi" w:hAnsiTheme="majorHAnsi" w:cs="Times New Roman"/>
          <w:sz w:val="24"/>
          <w:szCs w:val="24"/>
        </w:rPr>
        <w:t xml:space="preserve"> – 59</w:t>
      </w:r>
      <w:r w:rsidRPr="000A3652">
        <w:rPr>
          <w:rFonts w:asciiTheme="majorHAnsi" w:hAnsiTheme="majorHAnsi" w:cs="Times New Roman"/>
          <w:sz w:val="24"/>
          <w:szCs w:val="24"/>
          <w:vertAlign w:val="superscript"/>
        </w:rPr>
        <w:t>th</w:t>
      </w:r>
      <w:r>
        <w:rPr>
          <w:rFonts w:asciiTheme="majorHAnsi" w:hAnsiTheme="majorHAnsi" w:cs="Times New Roman"/>
          <w:sz w:val="24"/>
          <w:szCs w:val="24"/>
        </w:rPr>
        <w:t xml:space="preserve"> District) announced today that the New York State  Senate  passed two pieces of legislation that would limit the impact of protesters at military funerals.  Collectively, the two bills would prohibit protests within a 500 foot radius of a military funeral,  and force protest organizers to post a bond to the local municipality and receive a permit from the New York State Department of Military and Navel Affairs to conduct a protest within 2500 feet of a military funeral. </w:t>
      </w:r>
    </w:p>
    <w:p w:rsid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“Nothing is more sacred in America than honoring those who have paid the ultimate sacrifice and respecting the rights of their families, communities, and country to mourn their passing in a dignified manner. This legislation loudly reaffirms </w:t>
      </w:r>
      <w:r w:rsidR="004636FF">
        <w:rPr>
          <w:rFonts w:asciiTheme="majorHAnsi" w:hAnsiTheme="majorHAnsi" w:cs="Times New Roman"/>
          <w:sz w:val="24"/>
          <w:szCs w:val="24"/>
        </w:rPr>
        <w:t>our</w:t>
      </w:r>
      <w:r>
        <w:rPr>
          <w:rFonts w:asciiTheme="majorHAnsi" w:hAnsiTheme="majorHAnsi" w:cs="Times New Roman"/>
          <w:sz w:val="24"/>
          <w:szCs w:val="24"/>
        </w:rPr>
        <w:t xml:space="preserve"> commitment and respect to all those who have served our nation,” said </w:t>
      </w:r>
      <w:proofErr w:type="spellStart"/>
      <w:r>
        <w:rPr>
          <w:rFonts w:asciiTheme="majorHAnsi" w:hAnsiTheme="majorHAnsi" w:cs="Times New Roman"/>
          <w:sz w:val="24"/>
          <w:szCs w:val="24"/>
        </w:rPr>
        <w:t>Gallivan</w:t>
      </w:r>
      <w:proofErr w:type="spellEnd"/>
      <w:r>
        <w:rPr>
          <w:rFonts w:asciiTheme="majorHAnsi" w:hAnsiTheme="majorHAnsi" w:cs="Times New Roman"/>
          <w:sz w:val="24"/>
          <w:szCs w:val="24"/>
        </w:rPr>
        <w:t xml:space="preserve">, a co-sponsor of both pieces of legislation. </w:t>
      </w:r>
    </w:p>
    <w:p w:rsidR="000A3652" w:rsidRDefault="000A3652" w:rsidP="004636FF">
      <w:pPr>
        <w:tabs>
          <w:tab w:val="left" w:pos="5910"/>
        </w:tabs>
        <w:spacing w:line="480" w:lineRule="auto"/>
        <w:rPr>
          <w:rFonts w:asciiTheme="majorHAnsi" w:hAnsiTheme="majorHAnsi" w:cs="Times New Roman"/>
          <w:sz w:val="24"/>
          <w:szCs w:val="24"/>
        </w:rPr>
      </w:pPr>
      <w:proofErr w:type="spellStart"/>
      <w:r>
        <w:rPr>
          <w:rFonts w:asciiTheme="majorHAnsi" w:hAnsiTheme="majorHAnsi" w:cs="Times New Roman"/>
          <w:sz w:val="24"/>
          <w:szCs w:val="24"/>
        </w:rPr>
        <w:t>S.3900</w:t>
      </w:r>
      <w:proofErr w:type="spellEnd"/>
      <w:r>
        <w:rPr>
          <w:rFonts w:asciiTheme="majorHAnsi" w:hAnsiTheme="majorHAnsi" w:cs="Times New Roman"/>
          <w:sz w:val="24"/>
          <w:szCs w:val="24"/>
        </w:rPr>
        <w:t xml:space="preserve"> creates the crimes of criminal interference with a funeral service </w:t>
      </w:r>
      <w:r w:rsidR="004636FF">
        <w:rPr>
          <w:rFonts w:asciiTheme="majorHAnsi" w:hAnsiTheme="majorHAnsi" w:cs="Times New Roman"/>
          <w:sz w:val="24"/>
          <w:szCs w:val="24"/>
        </w:rPr>
        <w:t>in the first and second degrees,</w:t>
      </w:r>
      <w:r>
        <w:rPr>
          <w:rFonts w:asciiTheme="majorHAnsi" w:hAnsiTheme="majorHAnsi" w:cs="Times New Roman"/>
          <w:sz w:val="24"/>
          <w:szCs w:val="24"/>
        </w:rPr>
        <w:t xml:space="preserve"> making a repeat offense a class E felony. This legislation prohibits disruptive behavior within 500 feet of a funeral service and is modeled from existing state law which provides reproductive services clinics and religious assemblies specific protections from disruptions and harassment. </w:t>
      </w:r>
    </w:p>
    <w:p w:rsidR="000A3652" w:rsidRDefault="000A3652" w:rsidP="004636FF">
      <w:pPr>
        <w:tabs>
          <w:tab w:val="left" w:pos="5910"/>
        </w:tabs>
        <w:spacing w:line="480" w:lineRule="auto"/>
        <w:rPr>
          <w:rFonts w:asciiTheme="majorHAnsi" w:hAnsiTheme="majorHAnsi" w:cs="Times New Roman"/>
          <w:sz w:val="24"/>
          <w:szCs w:val="24"/>
        </w:rPr>
      </w:pPr>
      <w:proofErr w:type="spellStart"/>
      <w:r>
        <w:rPr>
          <w:rFonts w:asciiTheme="majorHAnsi" w:hAnsiTheme="majorHAnsi" w:cs="Times New Roman"/>
          <w:sz w:val="24"/>
          <w:szCs w:val="24"/>
        </w:rPr>
        <w:lastRenderedPageBreak/>
        <w:t>S.3901</w:t>
      </w:r>
      <w:proofErr w:type="spellEnd"/>
      <w:r>
        <w:rPr>
          <w:rFonts w:asciiTheme="majorHAnsi" w:hAnsiTheme="majorHAnsi" w:cs="Times New Roman"/>
          <w:sz w:val="24"/>
          <w:szCs w:val="24"/>
        </w:rPr>
        <w:t xml:space="preserve"> extends this protection by creating a Military funeral buffer zone program. The program would permit local municipalities to require that any citizen or group wishing to conduct a protest in the vicinity of a military funeral must apply for an authorizing permit from the New York State Department of Military and Naval Affairs. Further, the applying protesters would also be required to post a public security bond in an amount between $5,000 and $25,000. The “buffer zone” </w:t>
      </w:r>
      <w:r w:rsidR="004636FF">
        <w:rPr>
          <w:rFonts w:asciiTheme="majorHAnsi" w:hAnsiTheme="majorHAnsi" w:cs="Times New Roman"/>
          <w:sz w:val="24"/>
          <w:szCs w:val="24"/>
        </w:rPr>
        <w:t>would extend</w:t>
      </w:r>
      <w:r>
        <w:rPr>
          <w:rFonts w:asciiTheme="majorHAnsi" w:hAnsiTheme="majorHAnsi" w:cs="Times New Roman"/>
          <w:sz w:val="24"/>
          <w:szCs w:val="24"/>
        </w:rPr>
        <w:t xml:space="preserve"> to 2,500 feet surrounding a military funeral. </w:t>
      </w:r>
    </w:p>
    <w:p w:rsid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Both measures are a direct response to a recent Supreme Court decision, </w:t>
      </w:r>
      <w:r w:rsidRPr="000A3652">
        <w:rPr>
          <w:rFonts w:asciiTheme="majorHAnsi" w:hAnsiTheme="majorHAnsi" w:cs="Times New Roman"/>
          <w:i/>
          <w:sz w:val="24"/>
          <w:szCs w:val="24"/>
        </w:rPr>
        <w:t>Snyder v. Phelps</w:t>
      </w:r>
      <w:r>
        <w:rPr>
          <w:rFonts w:asciiTheme="majorHAnsi" w:hAnsiTheme="majorHAnsi" w:cs="Times New Roman"/>
          <w:sz w:val="24"/>
          <w:szCs w:val="24"/>
        </w:rPr>
        <w:t xml:space="preserve">, which recognized protesting at a military funeral as a form of protected speech under the First Amendment, but maintained that states have a compelling state interest to protect mourners at military funerals.  </w:t>
      </w:r>
    </w:p>
    <w:p w:rsid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 This legislation balances the right to free speech and expression, no matter how heinous, with the right of military families to peacefully mourn,” said </w:t>
      </w:r>
      <w:proofErr w:type="spellStart"/>
      <w:r>
        <w:rPr>
          <w:rFonts w:asciiTheme="majorHAnsi" w:hAnsiTheme="majorHAnsi" w:cs="Times New Roman"/>
          <w:sz w:val="24"/>
          <w:szCs w:val="24"/>
        </w:rPr>
        <w:t>Gallivan</w:t>
      </w:r>
      <w:proofErr w:type="spellEnd"/>
      <w:r>
        <w:rPr>
          <w:rFonts w:asciiTheme="majorHAnsi" w:hAnsiTheme="majorHAnsi" w:cs="Times New Roman"/>
          <w:sz w:val="24"/>
          <w:szCs w:val="24"/>
        </w:rPr>
        <w:t xml:space="preserve">. </w:t>
      </w:r>
    </w:p>
    <w:p w:rsid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Massachusetts has already enacted “buffer zone” legislation to prevent disturbances by protesters at funerals.   </w:t>
      </w:r>
    </w:p>
    <w:p w:rsidR="000A3652" w:rsidRPr="000A3652" w:rsidRDefault="000A3652" w:rsidP="004636FF">
      <w:pPr>
        <w:tabs>
          <w:tab w:val="left" w:pos="5910"/>
        </w:tabs>
        <w:spacing w:line="480" w:lineRule="auto"/>
        <w:rPr>
          <w:rFonts w:asciiTheme="majorHAnsi" w:hAnsiTheme="majorHAnsi" w:cs="Times New Roman"/>
          <w:sz w:val="24"/>
          <w:szCs w:val="24"/>
        </w:rPr>
      </w:pPr>
      <w:r>
        <w:rPr>
          <w:rFonts w:asciiTheme="majorHAnsi" w:hAnsiTheme="majorHAnsi" w:cs="Times New Roman"/>
          <w:sz w:val="24"/>
          <w:szCs w:val="24"/>
        </w:rPr>
        <w:t xml:space="preserve">Senator Patrick M. </w:t>
      </w:r>
      <w:proofErr w:type="spellStart"/>
      <w:r>
        <w:rPr>
          <w:rFonts w:asciiTheme="majorHAnsi" w:hAnsiTheme="majorHAnsi" w:cs="Times New Roman"/>
          <w:sz w:val="24"/>
          <w:szCs w:val="24"/>
        </w:rPr>
        <w:t>Gallivan</w:t>
      </w:r>
      <w:proofErr w:type="spellEnd"/>
      <w:r>
        <w:rPr>
          <w:rFonts w:asciiTheme="majorHAnsi" w:hAnsiTheme="majorHAnsi" w:cs="Times New Roman"/>
          <w:sz w:val="24"/>
          <w:szCs w:val="24"/>
        </w:rPr>
        <w:t xml:space="preserve"> represents the 59</w:t>
      </w:r>
      <w:r w:rsidRPr="000A3652">
        <w:rPr>
          <w:rFonts w:asciiTheme="majorHAnsi" w:hAnsiTheme="majorHAnsi" w:cs="Times New Roman"/>
          <w:sz w:val="24"/>
          <w:szCs w:val="24"/>
          <w:vertAlign w:val="superscript"/>
        </w:rPr>
        <w:t>th</w:t>
      </w:r>
      <w:r>
        <w:rPr>
          <w:rFonts w:asciiTheme="majorHAnsi" w:hAnsiTheme="majorHAnsi" w:cs="Times New Roman"/>
          <w:sz w:val="24"/>
          <w:szCs w:val="24"/>
        </w:rPr>
        <w:t xml:space="preserve"> Senate District which includes parts of Erie, Livingston and Ontario Counties, and all of Wyoming County.</w:t>
      </w:r>
    </w:p>
    <w:p w:rsidR="00B84098" w:rsidRPr="00B84098" w:rsidRDefault="00B84098" w:rsidP="004636FF">
      <w:pPr>
        <w:tabs>
          <w:tab w:val="left" w:pos="5910"/>
        </w:tabs>
        <w:spacing w:line="480" w:lineRule="auto"/>
        <w:jc w:val="center"/>
        <w:rPr>
          <w:rFonts w:asciiTheme="majorHAnsi" w:hAnsiTheme="majorHAnsi" w:cs="Times New Roman"/>
          <w:sz w:val="24"/>
          <w:szCs w:val="24"/>
        </w:rPr>
      </w:pPr>
      <w:r w:rsidRPr="00B84098">
        <w:rPr>
          <w:rFonts w:asciiTheme="majorHAnsi" w:hAnsiTheme="majorHAnsi" w:cs="Times New Roman"/>
          <w:sz w:val="24"/>
          <w:szCs w:val="24"/>
        </w:rPr>
        <w:t>-30-</w:t>
      </w:r>
    </w:p>
    <w:p w:rsidR="003B24F5" w:rsidRPr="00B84098" w:rsidRDefault="003B24F5" w:rsidP="004636FF">
      <w:pPr>
        <w:tabs>
          <w:tab w:val="left" w:pos="5910"/>
        </w:tabs>
        <w:spacing w:line="480" w:lineRule="auto"/>
        <w:rPr>
          <w:rFonts w:asciiTheme="majorHAnsi" w:hAnsiTheme="majorHAnsi" w:cs="Times New Roman"/>
          <w:sz w:val="24"/>
          <w:szCs w:val="24"/>
        </w:rPr>
      </w:pPr>
    </w:p>
    <w:sectPr w:rsidR="003B24F5" w:rsidRPr="00B84098" w:rsidSect="00450A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7511AC"/>
    <w:rsid w:val="000A06F8"/>
    <w:rsid w:val="000A3652"/>
    <w:rsid w:val="00266EC9"/>
    <w:rsid w:val="002D4CB3"/>
    <w:rsid w:val="003917DC"/>
    <w:rsid w:val="00392C4E"/>
    <w:rsid w:val="003B24F5"/>
    <w:rsid w:val="003F7D88"/>
    <w:rsid w:val="00450AA2"/>
    <w:rsid w:val="00455A32"/>
    <w:rsid w:val="004636FF"/>
    <w:rsid w:val="00494406"/>
    <w:rsid w:val="004C5D2E"/>
    <w:rsid w:val="004F50AA"/>
    <w:rsid w:val="00511E80"/>
    <w:rsid w:val="005A53B6"/>
    <w:rsid w:val="005B3324"/>
    <w:rsid w:val="005F2184"/>
    <w:rsid w:val="00606120"/>
    <w:rsid w:val="00691653"/>
    <w:rsid w:val="007452FF"/>
    <w:rsid w:val="007511AC"/>
    <w:rsid w:val="008B7BBA"/>
    <w:rsid w:val="009C0BA9"/>
    <w:rsid w:val="00A33B3F"/>
    <w:rsid w:val="00A464D3"/>
    <w:rsid w:val="00A54209"/>
    <w:rsid w:val="00A71B39"/>
    <w:rsid w:val="00B84098"/>
    <w:rsid w:val="00BE2179"/>
    <w:rsid w:val="00D777E9"/>
    <w:rsid w:val="00E02C19"/>
    <w:rsid w:val="00E100FB"/>
    <w:rsid w:val="00ED05CD"/>
    <w:rsid w:val="00EE6DEF"/>
    <w:rsid w:val="00F348F8"/>
    <w:rsid w:val="00F36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3</cp:revision>
  <cp:lastPrinted>2011-02-25T19:45:00Z</cp:lastPrinted>
  <dcterms:created xsi:type="dcterms:W3CDTF">2011-03-14T22:40:00Z</dcterms:created>
  <dcterms:modified xsi:type="dcterms:W3CDTF">2011-03-14T22:43:00Z</dcterms:modified>
</cp:coreProperties>
</file>